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0" w:right="137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Appendix</w:t>
      </w:r>
      <w:r>
        <w:rPr>
          <w:rFonts w:ascii="Times New Roman"/>
          <w:b/>
          <w:color w:val="231F20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9-2-1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0.9pt;height:16.1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7" w:lineRule="exact" w:before="0"/>
                    <w:ind w:left="186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9"/>
                      <w:sz w:val="28"/>
                      <w:szCs w:val="28"/>
                    </w:rPr>
                    <w:t>Sample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22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0"/>
                      <w:sz w:val="28"/>
                      <w:szCs w:val="28"/>
                    </w:rPr>
                    <w:t>Owner’s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9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0"/>
                      <w:sz w:val="28"/>
                      <w:szCs w:val="28"/>
                    </w:rPr>
                    <w:t>Cover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25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9"/>
                      <w:sz w:val="28"/>
                      <w:szCs w:val="28"/>
                    </w:rPr>
                    <w:t>Letter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25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z w:val="28"/>
                      <w:szCs w:val="28"/>
                    </w:rPr>
                    <w:t>&amp;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22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1"/>
                      <w:sz w:val="28"/>
                      <w:szCs w:val="28"/>
                    </w:rPr>
                    <w:t>Owner’s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21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0"/>
                      <w:sz w:val="28"/>
                      <w:szCs w:val="28"/>
                    </w:rPr>
                    <w:t>Checklist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pStyle w:val="BodyText"/>
        <w:spacing w:line="240" w:lineRule="auto" w:before="69"/>
        <w:ind w:left="140" w:right="0" w:firstLine="0"/>
        <w:jc w:val="left"/>
      </w:pPr>
      <w:r>
        <w:rPr>
          <w:color w:val="231F20"/>
          <w:spacing w:val="-1"/>
        </w:rPr>
        <w:t>[Date]</w:t>
      </w:r>
      <w:r>
        <w:rPr/>
      </w:r>
    </w:p>
    <w:p>
      <w:pPr>
        <w:pStyle w:val="BodyText"/>
        <w:spacing w:line="275" w:lineRule="auto" w:before="199"/>
        <w:ind w:left="140" w:right="7013" w:firstLine="0"/>
        <w:jc w:val="left"/>
      </w:pPr>
      <w:r>
        <w:rPr>
          <w:color w:val="231F20"/>
          <w:spacing w:val="-1"/>
        </w:rPr>
        <w:t>[Owner’s</w:t>
      </w:r>
      <w:r>
        <w:rPr>
          <w:color w:val="231F20"/>
        </w:rPr>
        <w:t> </w:t>
      </w:r>
      <w:r>
        <w:rPr>
          <w:color w:val="231F20"/>
          <w:spacing w:val="-1"/>
        </w:rPr>
        <w:t>Name]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[Owner’s</w:t>
      </w:r>
      <w:r>
        <w:rPr>
          <w:color w:val="231F20"/>
        </w:rPr>
        <w:t> </w:t>
      </w:r>
      <w:r>
        <w:rPr>
          <w:color w:val="231F20"/>
          <w:spacing w:val="-1"/>
        </w:rPr>
        <w:t>Address]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RCS</w:t>
      </w:r>
      <w:r>
        <w:rPr>
          <w:rFonts w:ascii="Times New Roman"/>
          <w:b/>
          <w:color w:val="231F2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Submittal</w:t>
      </w:r>
      <w:r>
        <w:rPr>
          <w:rFonts w:ascii="Times New Roman"/>
          <w:b/>
          <w:color w:val="231F2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Cover</w:t>
      </w:r>
      <w:r>
        <w:rPr>
          <w:rFonts w:ascii="Times New Roman"/>
          <w:b/>
          <w:color w:val="231F20"/>
          <w:spacing w:val="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Letter </w:t>
      </w:r>
      <w:r>
        <w:rPr>
          <w:rFonts w:ascii="Times New Roman"/>
          <w:b/>
          <w:color w:val="231F20"/>
          <w:sz w:val="24"/>
        </w:rPr>
        <w:t>for</w:t>
      </w:r>
      <w:r>
        <w:rPr>
          <w:rFonts w:ascii="Times New Roman"/>
          <w:b/>
          <w:color w:val="231F20"/>
          <w:spacing w:val="-1"/>
          <w:sz w:val="24"/>
        </w:rPr>
        <w:t> [Project</w:t>
      </w:r>
      <w:r>
        <w:rPr>
          <w:rFonts w:ascii="Times New Roman"/>
          <w:b/>
          <w:color w:val="231F20"/>
          <w:spacing w:val="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Name]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1" w:lineRule="auto" w:before="0" w:after="0"/>
        <w:ind w:left="500" w:right="612" w:hanging="36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 reviewed the content of the RCS and concluded that the RCS includes</w:t>
      </w:r>
      <w:r>
        <w:rPr>
          <w:color w:val="231F20"/>
        </w:rPr>
        <w:t> all </w:t>
      </w:r>
      <w:r>
        <w:rPr>
          <w:color w:val="231F20"/>
          <w:spacing w:val="-1"/>
        </w:rPr>
        <w:t>material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required </w:t>
      </w:r>
      <w:r>
        <w:rPr>
          <w:color w:val="231F20"/>
          <w:spacing w:val="2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Chapter Nine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and the Owner’s</w:t>
      </w:r>
      <w:r>
        <w:rPr>
          <w:color w:val="231F20"/>
        </w:rPr>
        <w:t> </w:t>
      </w:r>
      <w:r>
        <w:rPr>
          <w:color w:val="231F20"/>
          <w:spacing w:val="-1"/>
        </w:rPr>
        <w:t>Checklist</w:t>
      </w:r>
      <w:r>
        <w:rPr>
          <w:color w:val="231F20"/>
        </w:rPr>
        <w:t> </w:t>
      </w:r>
      <w:r>
        <w:rPr>
          <w:color w:val="231F20"/>
          <w:spacing w:val="-1"/>
        </w:rPr>
        <w:t>in</w:t>
      </w:r>
      <w:r>
        <w:rPr>
          <w:color w:val="231F20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9-2-2.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0" w:lineRule="auto" w:before="194" w:after="0"/>
        <w:ind w:left="500" w:right="361" w:hanging="360"/>
        <w:jc w:val="left"/>
      </w:pPr>
      <w:r>
        <w:rPr>
          <w:color w:val="231F20"/>
          <w:spacing w:val="-1"/>
        </w:rPr>
        <w:t>The RCS appraiser’s [insert appraiser’s</w:t>
      </w:r>
      <w:r>
        <w:rPr>
          <w:color w:val="231F20"/>
        </w:rPr>
        <w:t> </w:t>
      </w:r>
      <w:r>
        <w:rPr>
          <w:color w:val="231F20"/>
          <w:spacing w:val="-1"/>
        </w:rPr>
        <w:t>name]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narratives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Rent Grid</w:t>
      </w:r>
      <w:r>
        <w:rPr>
          <w:color w:val="231F20"/>
          <w:spacing w:val="1"/>
        </w:rPr>
        <w:t> </w:t>
      </w:r>
      <w:r>
        <w:rPr>
          <w:color w:val="231F20"/>
        </w:rPr>
        <w:t>accurately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describe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the subject project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 properly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treat non-shelter services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 their funding</w:t>
      </w:r>
      <w:r>
        <w:rPr>
          <w:color w:val="231F20"/>
        </w:rPr>
        <w:t> </w:t>
      </w:r>
      <w:r>
        <w:rPr>
          <w:color w:val="231F20"/>
          <w:spacing w:val="-1"/>
        </w:rPr>
        <w:t>sources as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required </w:t>
      </w:r>
      <w:r>
        <w:rPr>
          <w:color w:val="231F20"/>
          <w:spacing w:val="2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 </w:t>
      </w:r>
      <w:r>
        <w:rPr>
          <w:color w:val="231F20"/>
          <w:spacing w:val="-2"/>
        </w:rPr>
        <w:t>9-12</w:t>
      </w:r>
      <w:r>
        <w:rPr>
          <w:color w:val="231F20"/>
          <w:spacing w:val="-1"/>
        </w:rPr>
        <w:t> and Appendix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9-1-2.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0" w:lineRule="auto" w:before="198" w:after="0"/>
        <w:ind w:left="500" w:right="146" w:hanging="360"/>
        <w:jc w:val="left"/>
      </w:pPr>
      <w:r>
        <w:rPr>
          <w:color w:val="231F20"/>
          <w:spacing w:val="-1"/>
        </w:rPr>
        <w:t>There</w:t>
      </w:r>
      <w:r>
        <w:rPr>
          <w:color w:val="231F20"/>
        </w:rPr>
        <w:t> </w:t>
      </w:r>
      <w:r>
        <w:rPr>
          <w:color w:val="231F20"/>
          <w:spacing w:val="-1"/>
        </w:rPr>
        <w:t>is</w:t>
      </w:r>
      <w:r>
        <w:rPr>
          <w:color w:val="231F20"/>
        </w:rPr>
        <w:t> </w:t>
      </w:r>
      <w:r>
        <w:rPr>
          <w:color w:val="231F20"/>
          <w:spacing w:val="-1"/>
        </w:rPr>
        <w:t>no</w:t>
      </w:r>
      <w:r>
        <w:rPr>
          <w:color w:val="231F20"/>
        </w:rPr>
        <w:t> family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</w:rPr>
        <w:t> </w:t>
      </w:r>
      <w:r>
        <w:rPr>
          <w:color w:val="231F20"/>
          <w:spacing w:val="-1"/>
        </w:rPr>
        <w:t>or</w:t>
      </w:r>
      <w:r>
        <w:rPr>
          <w:color w:val="231F20"/>
        </w:rPr>
        <w:t> </w:t>
      </w:r>
      <w:r>
        <w:rPr>
          <w:color w:val="231F20"/>
          <w:spacing w:val="-1"/>
        </w:rPr>
        <w:t>identity-of-interest between the principals</w:t>
      </w:r>
      <w:r>
        <w:rPr>
          <w:color w:val="231F20"/>
        </w:rPr>
        <w:t> </w:t>
      </w:r>
      <w:r>
        <w:rPr>
          <w:color w:val="231F20"/>
          <w:spacing w:val="-1"/>
        </w:rPr>
        <w:t>of the subject’s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Ownership or management agent entity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 the principals</w:t>
      </w:r>
      <w:r>
        <w:rPr>
          <w:color w:val="231F2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</w:rPr>
        <w:t> </w:t>
      </w:r>
      <w:r>
        <w:rPr>
          <w:color w:val="231F20"/>
          <w:spacing w:val="-1"/>
        </w:rPr>
        <w:t>manage/</w:t>
      </w:r>
      <w:r>
        <w:rPr>
          <w:color w:val="231F20"/>
        </w:rPr>
        <w:t> own </w:t>
      </w:r>
      <w:r>
        <w:rPr>
          <w:color w:val="231F20"/>
          <w:spacing w:val="-1"/>
        </w:rPr>
        <w:t>the</w:t>
      </w:r>
      <w:r>
        <w:rPr>
          <w:color w:val="231F20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as comparables. [Owners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must identify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 provide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</w:rPr>
        <w:t> </w:t>
      </w:r>
      <w:r>
        <w:rPr>
          <w:color w:val="231F20"/>
          <w:spacing w:val="-1"/>
        </w:rPr>
        <w:t>if</w:t>
      </w:r>
      <w:r>
        <w:rPr>
          <w:color w:val="231F2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</w:rPr>
        <w:t> </w:t>
      </w:r>
      <w:r>
        <w:rPr>
          <w:color w:val="231F20"/>
          <w:spacing w:val="-1"/>
        </w:rPr>
        <w:t>is</w:t>
      </w:r>
      <w:r>
        <w:rPr>
          <w:color w:val="231F20"/>
        </w:rPr>
        <w:t> an </w:t>
      </w:r>
      <w:r>
        <w:rPr>
          <w:color w:val="231F20"/>
          <w:spacing w:val="-2"/>
        </w:rPr>
        <w:t>identity-of-</w:t>
      </w:r>
      <w:r>
        <w:rPr>
          <w:color w:val="231F20"/>
          <w:spacing w:val="68"/>
        </w:rPr>
        <w:t> </w:t>
      </w:r>
      <w:r>
        <w:rPr>
          <w:color w:val="231F20"/>
          <w:spacing w:val="-1"/>
        </w:rPr>
        <w:t>interest existing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principals.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See</w:t>
      </w:r>
      <w:r>
        <w:rPr>
          <w:color w:val="231F20"/>
        </w:rPr>
        <w:t> </w:t>
      </w:r>
      <w:r>
        <w:rPr>
          <w:color w:val="231F20"/>
          <w:spacing w:val="-1"/>
        </w:rPr>
        <w:t>Handbook</w:t>
      </w:r>
      <w:r>
        <w:rPr>
          <w:color w:val="231F20"/>
        </w:rPr>
        <w:t> </w:t>
      </w:r>
      <w:r>
        <w:rPr>
          <w:color w:val="231F20"/>
          <w:spacing w:val="-1"/>
        </w:rPr>
        <w:t>4381.5,</w:t>
      </w:r>
      <w:r>
        <w:rPr>
          <w:color w:val="231F20"/>
        </w:rPr>
        <w:t> </w:t>
      </w:r>
      <w:r>
        <w:rPr>
          <w:color w:val="231F20"/>
          <w:spacing w:val="-1"/>
        </w:rPr>
        <w:t>Paragraph </w:t>
      </w:r>
      <w:r>
        <w:rPr>
          <w:color w:val="231F20"/>
        </w:rPr>
        <w:t>2-3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definition of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the term “identity-of-interest”.]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0" w:lineRule="auto" w:before="196" w:after="0"/>
        <w:ind w:left="500" w:right="361" w:hanging="360"/>
        <w:jc w:val="left"/>
      </w:pPr>
      <w:r>
        <w:rPr>
          <w:color w:val="231F20"/>
        </w:rPr>
        <w:t>I</w:t>
      </w:r>
      <w:r>
        <w:rPr>
          <w:color w:val="231F20"/>
          <w:spacing w:val="-1"/>
        </w:rPr>
        <w:t> certify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that: </w:t>
      </w:r>
      <w:r>
        <w:rPr>
          <w:color w:val="231F20"/>
        </w:rPr>
        <w:t>a)</w:t>
      </w:r>
      <w:r>
        <w:rPr>
          <w:color w:val="231F20"/>
          <w:spacing w:val="-1"/>
        </w:rPr>
        <w:t> neither </w:t>
      </w:r>
      <w:r>
        <w:rPr>
          <w:color w:val="231F20"/>
        </w:rPr>
        <w:t>the</w:t>
      </w:r>
      <w:r>
        <w:rPr>
          <w:color w:val="231F20"/>
          <w:spacing w:val="-1"/>
        </w:rPr>
        <w:t> selection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of the RCS appraiser nor </w:t>
      </w:r>
      <w:r>
        <w:rPr>
          <w:color w:val="231F20"/>
        </w:rPr>
        <w:t>the</w:t>
      </w:r>
      <w:r>
        <w:rPr>
          <w:color w:val="231F20"/>
          <w:spacing w:val="-1"/>
        </w:rPr>
        <w:t> RCS appraiser’s</w:t>
      </w:r>
      <w:r>
        <w:rPr>
          <w:color w:val="231F20"/>
          <w:spacing w:val="42"/>
        </w:rPr>
        <w:t> </w:t>
      </w:r>
      <w:r>
        <w:rPr>
          <w:color w:val="231F20"/>
        </w:rPr>
        <w:t>compensation was/is </w:t>
      </w:r>
      <w:r>
        <w:rPr>
          <w:color w:val="231F20"/>
          <w:spacing w:val="-1"/>
        </w:rPr>
        <w:t>contingent</w:t>
      </w:r>
      <w:r>
        <w:rPr>
          <w:color w:val="231F20"/>
        </w:rPr>
        <w:t> upon the RCS </w:t>
      </w:r>
      <w:r>
        <w:rPr>
          <w:color w:val="231F20"/>
          <w:spacing w:val="-1"/>
        </w:rPr>
        <w:t>appraiser reporting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predetermined rent nor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direction in rent; and b) </w:t>
      </w:r>
      <w:r>
        <w:rPr>
          <w:color w:val="231F20"/>
          <w:spacing w:val="1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 best of the Owner’s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knowledge, the RCS appraiser meets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</w:rPr>
        <w:t> </w:t>
      </w:r>
      <w:r>
        <w:rPr>
          <w:color w:val="231F20"/>
          <w:spacing w:val="-1"/>
        </w:rPr>
        <w:t>9-8.</w:t>
      </w:r>
      <w:r>
        <w:rPr>
          <w:color w:val="231F20"/>
        </w:rPr>
        <w:t> </w:t>
      </w:r>
      <w:r>
        <w:rPr>
          <w:color w:val="231F20"/>
          <w:spacing w:val="-1"/>
        </w:rPr>
        <w:t>A.’s</w:t>
      </w:r>
      <w:r>
        <w:rPr>
          <w:color w:val="231F20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</w:rPr>
        <w:t> </w:t>
      </w:r>
      <w:r>
        <w:rPr>
          <w:color w:val="231F20"/>
          <w:spacing w:val="-1"/>
        </w:rPr>
        <w:t>regarding</w:t>
      </w:r>
      <w:r>
        <w:rPr>
          <w:color w:val="231F20"/>
        </w:rPr>
        <w:t> </w:t>
      </w:r>
      <w:r>
        <w:rPr>
          <w:color w:val="231F20"/>
          <w:spacing w:val="-1"/>
        </w:rPr>
        <w:t>absence 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financial, employment, </w:t>
      </w:r>
      <w:r>
        <w:rPr>
          <w:color w:val="231F20"/>
        </w:rPr>
        <w:t>and</w:t>
      </w:r>
      <w:r>
        <w:rPr>
          <w:color w:val="231F20"/>
          <w:spacing w:val="-1"/>
        </w:rPr>
        <w:t> family</w:t>
      </w:r>
      <w:r>
        <w:rPr>
          <w:color w:val="231F20"/>
          <w:spacing w:val="35"/>
        </w:rPr>
        <w:t> </w:t>
      </w:r>
      <w:r>
        <w:rPr>
          <w:color w:val="231F20"/>
        </w:rPr>
        <w:t>relationships.</w:t>
      </w:r>
      <w:r>
        <w:rPr/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line="241" w:lineRule="auto" w:before="196" w:after="0"/>
        <w:ind w:left="500" w:right="870" w:hanging="360"/>
        <w:jc w:val="left"/>
      </w:pP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certify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</w:rPr>
        <w:t>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fee </w:t>
      </w:r>
      <w:r>
        <w:rPr>
          <w:color w:val="231F20"/>
        </w:rPr>
        <w:t>paid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for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RCS is</w:t>
      </w:r>
      <w:r>
        <w:rPr>
          <w:color w:val="231F20"/>
          <w:spacing w:val="-1"/>
        </w:rPr>
        <w:t> the</w:t>
      </w:r>
      <w:r>
        <w:rPr>
          <w:color w:val="231F20"/>
        </w:rPr>
        <w:t> only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compensation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</w:rPr>
        <w:t> </w:t>
      </w:r>
      <w:r>
        <w:rPr>
          <w:color w:val="231F20"/>
          <w:spacing w:val="-1"/>
        </w:rPr>
        <w:t>RCS</w:t>
      </w:r>
      <w:r>
        <w:rPr>
          <w:color w:val="231F20"/>
        </w:rPr>
        <w:t> </w:t>
      </w:r>
      <w:r>
        <w:rPr>
          <w:color w:val="231F20"/>
          <w:spacing w:val="-1"/>
        </w:rPr>
        <w:t>appraiser</w:t>
      </w:r>
      <w:r>
        <w:rPr>
          <w:color w:val="231F20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receive for the RCS work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 there is no side agreement or other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consideration.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1" w:lineRule="auto" w:before="197" w:after="0"/>
        <w:ind w:left="500" w:right="238" w:hanging="360"/>
        <w:jc w:val="left"/>
      </w:pPr>
      <w:r>
        <w:rPr>
          <w:color w:val="231F20"/>
          <w:spacing w:val="-1"/>
        </w:rPr>
        <w:t>The following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person 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our point of contact </w:t>
      </w:r>
      <w:r>
        <w:rPr>
          <w:color w:val="231F20"/>
        </w:rPr>
        <w:t>for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HUD/CA’s decision letter, or to address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questions that the HUD/CA staff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1"/>
        </w:rPr>
        <w:t> on the </w:t>
      </w:r>
      <w:r>
        <w:rPr>
          <w:color w:val="231F20"/>
        </w:rPr>
        <w:t>RCS:</w:t>
      </w:r>
      <w:r>
        <w:rPr/>
      </w:r>
    </w:p>
    <w:p>
      <w:pPr>
        <w:pStyle w:val="BodyText"/>
        <w:spacing w:line="240" w:lineRule="auto" w:before="197"/>
        <w:ind w:right="0" w:firstLine="0"/>
        <w:jc w:val="left"/>
      </w:pPr>
      <w:r>
        <w:rPr>
          <w:color w:val="231F20"/>
          <w:spacing w:val="-1"/>
        </w:rPr>
        <w:t>[Provide </w:t>
      </w:r>
      <w:r>
        <w:rPr>
          <w:color w:val="231F20"/>
        </w:rPr>
        <w:t>a</w:t>
      </w:r>
      <w:r>
        <w:rPr>
          <w:color w:val="231F20"/>
          <w:spacing w:val="-1"/>
        </w:rPr>
        <w:t> name, email </w:t>
      </w:r>
      <w:r>
        <w:rPr>
          <w:color w:val="231F20"/>
        </w:rPr>
        <w:t>and</w:t>
      </w:r>
      <w:r>
        <w:rPr>
          <w:color w:val="231F20"/>
          <w:spacing w:val="-1"/>
        </w:rPr>
        <w:t> phone number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point</w:t>
      </w:r>
      <w:r>
        <w:rPr>
          <w:color w:val="231F20"/>
        </w:rPr>
        <w:t> </w:t>
      </w:r>
      <w:r>
        <w:rPr>
          <w:color w:val="231F20"/>
          <w:spacing w:val="-1"/>
        </w:rPr>
        <w:t>of</w:t>
      </w:r>
      <w:r>
        <w:rPr>
          <w:color w:val="231F20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</w:rPr>
        <w:t> </w:t>
      </w:r>
      <w:r>
        <w:rPr>
          <w:color w:val="231F20"/>
          <w:spacing w:val="-1"/>
        </w:rPr>
        <w:t>at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</w:rPr>
        <w:t> </w:t>
      </w:r>
      <w:r>
        <w:rPr>
          <w:color w:val="231F20"/>
          <w:spacing w:val="-1"/>
        </w:rPr>
        <w:t>agent/Owner’s</w:t>
      </w:r>
      <w:r>
        <w:rPr>
          <w:color w:val="231F20"/>
        </w:rPr>
        <w:t> </w:t>
      </w:r>
      <w:r>
        <w:rPr>
          <w:color w:val="231F20"/>
          <w:spacing w:val="-1"/>
        </w:rPr>
        <w:t>office]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1" w:lineRule="auto" w:before="197" w:after="0"/>
        <w:ind w:left="500" w:right="461" w:hanging="360"/>
        <w:jc w:val="left"/>
      </w:pPr>
      <w:r>
        <w:rPr>
          <w:color w:val="231F20"/>
          <w:spacing w:val="-1"/>
        </w:rPr>
        <w:t>HUD/CA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</w:rPr>
        <w:t> </w:t>
      </w:r>
      <w:r>
        <w:rPr>
          <w:color w:val="231F20"/>
          <w:spacing w:val="-1"/>
        </w:rPr>
        <w:t>with the </w:t>
      </w:r>
      <w:r>
        <w:rPr>
          <w:color w:val="231F20"/>
        </w:rPr>
        <w:t>RCS </w:t>
      </w:r>
      <w:r>
        <w:rPr>
          <w:color w:val="231F20"/>
          <w:spacing w:val="-1"/>
        </w:rPr>
        <w:t>appraiser directly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 </w:t>
      </w:r>
      <w:r>
        <w:rPr>
          <w:color w:val="231F20"/>
        </w:rPr>
        <w:t>RCS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appraiser on written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materials.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The RCS appraiser’s contact</w:t>
      </w:r>
      <w:r>
        <w:rPr>
          <w:color w:val="231F20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</w:rPr>
        <w:t> </w:t>
      </w:r>
      <w:r>
        <w:rPr>
          <w:color w:val="231F20"/>
          <w:spacing w:val="-1"/>
        </w:rPr>
        <w:t>is</w:t>
      </w:r>
      <w:r>
        <w:rPr>
          <w:color w:val="231F20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</w:rPr>
        <w:t> </w:t>
      </w:r>
      <w:r>
        <w:rPr>
          <w:color w:val="231F20"/>
          <w:spacing w:val="-1"/>
        </w:rPr>
        <w:t>below</w:t>
      </w:r>
      <w:r>
        <w:rPr/>
      </w:r>
    </w:p>
    <w:p>
      <w:pPr>
        <w:pStyle w:val="BodyText"/>
        <w:spacing w:line="413" w:lineRule="auto" w:before="199"/>
        <w:ind w:right="2883" w:firstLine="0"/>
        <w:jc w:val="left"/>
      </w:pPr>
      <w:r>
        <w:rPr>
          <w:color w:val="231F20"/>
          <w:spacing w:val="-1"/>
        </w:rPr>
        <w:t>[Insert</w:t>
      </w:r>
      <w:r>
        <w:rPr>
          <w:color w:val="231F20"/>
        </w:rPr>
        <w:t> </w:t>
      </w:r>
      <w:r>
        <w:rPr>
          <w:color w:val="231F20"/>
          <w:spacing w:val="-1"/>
        </w:rPr>
        <w:t>RCS</w:t>
      </w:r>
      <w:r>
        <w:rPr>
          <w:color w:val="231F20"/>
        </w:rPr>
        <w:t> </w:t>
      </w:r>
      <w:r>
        <w:rPr>
          <w:color w:val="231F20"/>
          <w:spacing w:val="-1"/>
        </w:rPr>
        <w:t>appraiser’s</w:t>
      </w:r>
      <w:r>
        <w:rPr>
          <w:color w:val="231F20"/>
        </w:rPr>
        <w:t> </w:t>
      </w:r>
      <w:r>
        <w:rPr>
          <w:color w:val="231F20"/>
          <w:spacing w:val="-1"/>
        </w:rPr>
        <w:t>name,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address, email 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phone number]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certify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above 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all true.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4460" w:val="left" w:leader="none"/>
        </w:tabs>
        <w:spacing w:line="240" w:lineRule="auto"/>
        <w:ind w:right="4564" w:firstLine="0"/>
        <w:jc w:val="left"/>
      </w:pPr>
      <w:r>
        <w:rPr>
          <w:color w:val="231F20"/>
          <w:spacing w:val="-1"/>
        </w:rPr>
        <w:t>[Owner’s</w:t>
      </w:r>
      <w:r>
        <w:rPr>
          <w:color w:val="231F20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Signature]</w:t>
        <w:tab/>
        <w:t>[Date]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Encl: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Owner’s Checklist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3.5pt;height:.6pt;mso-position-horizontal-relative:char;mso-position-vertical-relative:line" coordorigin="0,0" coordsize="9070,12">
            <v:group style="position:absolute;left:6;top:6;width:9058;height:2" coordorigin="6,6" coordsize="9058,2">
              <v:shape style="position:absolute;left:6;top:6;width:9058;height:2" coordorigin="6,6" coordsize="9058,0" path="m6,6l9063,6e" filled="false" stroked="true" strokeweight=".58004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564" w:val="right" w:leader="none"/>
        </w:tabs>
        <w:spacing w:before="1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Chapter</w:t>
      </w:r>
      <w:r>
        <w:rPr>
          <w:rFonts w:ascii="Times New Roman"/>
          <w:color w:val="231F20"/>
          <w:sz w:val="20"/>
        </w:rPr>
        <w:t> Nine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Published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June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2017</w:t>
        <w:tab/>
        <w:t>73</w:t>
      </w:r>
      <w:r>
        <w:rPr>
          <w:rFonts w:ascii="Times New Roman"/>
          <w:sz w:val="20"/>
        </w:rPr>
      </w:r>
    </w:p>
    <w:sectPr>
      <w:type w:val="continuous"/>
      <w:pgSz w:w="12240" w:h="15840"/>
      <w:pgMar w:top="6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0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H22059</dc:creator>
  <dc:title>Microsoft Word - 508 FINAL Consolidated Guide 6-8-17.docx</dc:title>
  <dcterms:created xsi:type="dcterms:W3CDTF">2018-02-20T14:57:29Z</dcterms:created>
  <dcterms:modified xsi:type="dcterms:W3CDTF">2018-02-20T14:57:29Z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